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00"/>
      </w:pPr>
      <w:r>
        <w:rPr>
          <w:rFonts w:ascii="Calibri" w:hAnsi="Calibri"/>
          <w:b w:val="0"/>
          <w:i w:val="0"/>
          <w:color w:val="1A1A1A"/>
          <w:sz w:val="21"/>
        </w:rPr>
        <w:t>Motaj Mews</w:t>
      </w:r>
    </w:p>
    <w:p>
      <w:pPr>
        <w:spacing w:before="0" w:after="100"/>
      </w:pPr>
      <w:r>
        <w:rPr>
          <w:rFonts w:ascii="Calibri" w:hAnsi="Calibri"/>
          <w:b w:val="0"/>
          <w:i w:val="0"/>
          <w:color w:val="1A1A1A"/>
          <w:sz w:val="21"/>
        </w:rPr>
        <w:t>Tuesday, 14 July 2026</w:t>
      </w:r>
    </w:p>
    <w:p>
      <w:pPr>
        <w:spacing w:before="80" w:after="80"/>
        <w:pBdr>
          <w:bottom w:val="single" w:sz="6" w:space="1" w:color="1F497D"/>
        </w:pBdr>
      </w:pPr>
    </w:p>
    <w:p>
      <w:pPr>
        <w:spacing w:before="0" w:after="100"/>
      </w:pPr>
      <w:r>
        <w:rPr>
          <w:rFonts w:ascii="Calibri" w:hAnsi="Calibri"/>
          <w:b w:val="0"/>
          <w:i w:val="0"/>
          <w:color w:val="1A1A1A"/>
          <w:sz w:val="21"/>
        </w:rPr>
        <w:t>PRESENT</w:t>
      </w:r>
    </w:p>
    <w:p>
      <w:pPr>
        <w:pStyle w:val="ListBullet"/>
        <w:spacing w:before="40" w:after="40"/>
      </w:pPr>
      <w:r>
        <w:rPr>
          <w:rFonts w:ascii="Calibri" w:hAnsi="Calibri"/>
          <w:color w:val="1A1A1A"/>
          <w:sz w:val="21"/>
        </w:rPr>
        <w:t>John Buys</w:t>
      </w:r>
    </w:p>
    <w:p>
      <w:pPr>
        <w:pStyle w:val="ListBullet"/>
        <w:spacing w:before="40" w:after="40"/>
      </w:pPr>
      <w:r>
        <w:rPr>
          <w:rFonts w:ascii="Calibri" w:hAnsi="Calibri"/>
          <w:color w:val="1A1A1A"/>
          <w:sz w:val="21"/>
        </w:rPr>
        <w:t>Kwaedza Moyo</w:t>
      </w:r>
    </w:p>
    <w:p>
      <w:pPr>
        <w:spacing w:before="80" w:after="80"/>
        <w:pBdr>
          <w:bottom w:val="single" w:sz="6" w:space="1" w:color="1F497D"/>
        </w:pBdr>
      </w:pPr>
    </w:p>
    <w:p>
      <w:pPr>
        <w:spacing w:before="280" w:after="80"/>
      </w:pPr>
      <w:r>
        <w:rPr>
          <w:rFonts w:ascii="Calibri" w:hAnsi="Calibri"/>
          <w:b/>
          <w:color w:val="1F497D"/>
          <w:sz w:val="26"/>
        </w:rPr>
        <w:t>SUMMARY</w:t>
      </w:r>
    </w:p>
    <w:p>
      <w:pPr>
        <w:spacing w:before="0" w:after="100"/>
      </w:pPr>
      <w:r>
        <w:rPr>
          <w:rFonts w:ascii="Calibri" w:hAnsi="Calibri"/>
          <w:b w:val="0"/>
          <w:i w:val="0"/>
          <w:color w:val="1A1A1A"/>
          <w:sz w:val="21"/>
        </w:rPr>
        <w:t>John and Kwaedza discussed leveraging AI to improve workflow and operational efficiencies, focusing on a proposed $500 assessment service to identify friction points and provide a customized roadmap with clear AI recommendations. They emphasized the importance of starting small and focusing on specific areas to avoid overwhelming the organization. The conversation included clarification of what the assessment entails and steps for implementation.</w:t>
      </w:r>
    </w:p>
    <w:p>
      <w:pPr>
        <w:spacing w:before="280" w:after="80"/>
      </w:pPr>
      <w:r>
        <w:rPr>
          <w:rFonts w:ascii="Calibri" w:hAnsi="Calibri"/>
          <w:b/>
          <w:color w:val="1F497D"/>
          <w:sz w:val="26"/>
        </w:rPr>
        <w:t>DECISIONS</w:t>
      </w:r>
    </w:p>
    <w:p>
      <w:pPr>
        <w:pStyle w:val="ListBullet"/>
        <w:spacing w:before="40" w:after="40"/>
      </w:pPr>
      <w:r>
        <w:rPr>
          <w:rFonts w:ascii="Calibri" w:hAnsi="Calibri"/>
          <w:color w:val="1A1A1A"/>
          <w:sz w:val="21"/>
        </w:rPr>
        <w:t>Proceed with discussing AI assessment with the finance team.</w:t>
      </w:r>
    </w:p>
    <w:p>
      <w:pPr>
        <w:pStyle w:val="ListBullet"/>
        <w:spacing w:before="40" w:after="40"/>
      </w:pPr>
      <w:r>
        <w:rPr>
          <w:rFonts w:ascii="Calibri" w:hAnsi="Calibri"/>
          <w:color w:val="1A1A1A"/>
          <w:sz w:val="21"/>
        </w:rPr>
        <w:t>Focus the proposal on reporting and operational inefficiencies initially rather than a broad organizational scope.</w:t>
      </w:r>
    </w:p>
    <w:p>
      <w:pPr>
        <w:pStyle w:val="ListBullet"/>
        <w:spacing w:before="40" w:after="40"/>
      </w:pPr>
      <w:r>
        <w:rPr>
          <w:rFonts w:ascii="Calibri" w:hAnsi="Calibri"/>
          <w:color w:val="1A1A1A"/>
          <w:sz w:val="21"/>
        </w:rPr>
        <w:t>Agree to use the name Integra for branding purposes.</w:t>
      </w:r>
    </w:p>
    <w:p>
      <w:pPr>
        <w:spacing w:before="80" w:after="80"/>
        <w:pBdr>
          <w:bottom w:val="single" w:sz="6" w:space="1" w:color="1F497D"/>
        </w:pBdr>
      </w:pPr>
    </w:p>
    <w:p>
      <w:pPr>
        <w:spacing w:before="280" w:after="80"/>
      </w:pPr>
      <w:r>
        <w:rPr>
          <w:rFonts w:ascii="Calibri" w:hAnsi="Calibri"/>
          <w:b/>
          <w:color w:val="1F497D"/>
          <w:sz w:val="26"/>
        </w:rPr>
        <w:t>ACTION LOG</w:t>
      </w:r>
    </w:p>
    <w:tbl>
      <w:tblPr>
        <w:tblStyle w:val="TableGrid"/>
        <w:tblW w:type="auto" w:w="0"/>
        <w:jc w:val="left"/>
        <w:tblLook w:firstColumn="1" w:firstRow="1" w:lastColumn="0" w:lastRow="0" w:noHBand="0" w:noVBand="1" w:val="04A0"/>
      </w:tblPr>
      <w:tblGrid>
        <w:gridCol w:w="1881"/>
        <w:gridCol w:w="1881"/>
        <w:gridCol w:w="1881"/>
        <w:gridCol w:w="1881"/>
        <w:gridCol w:w="1881"/>
      </w:tblGrid>
      <w:tr>
        <w:tc>
          <w:tcPr>
            <w:tcW w:type="dxa" w:w="680"/>
            <w:vAlign w:val="center"/>
            <w:shd w:val="clear" w:color="auto" w:fill="1F497D"/>
          </w:tcPr>
          <w:p>
            <w:pPr>
              <w:spacing w:before="60" w:after="60"/>
              <w:jc w:val="left"/>
            </w:pPr>
            <w:r>
              <w:rPr>
                <w:rFonts w:ascii="Calibri" w:hAnsi="Calibri"/>
                <w:b/>
                <w:color w:val="FFFFFF"/>
                <w:sz w:val="20"/>
              </w:rPr>
              <w:t>Ref</w:t>
            </w:r>
          </w:p>
        </w:tc>
        <w:tc>
          <w:tcPr>
            <w:tcW w:type="dxa" w:w="4819"/>
            <w:vAlign w:val="center"/>
            <w:shd w:val="clear" w:color="auto" w:fill="1F497D"/>
          </w:tcPr>
          <w:p>
            <w:pPr>
              <w:spacing w:before="60" w:after="60"/>
              <w:jc w:val="left"/>
            </w:pPr>
            <w:r>
              <w:rPr>
                <w:rFonts w:ascii="Calibri" w:hAnsi="Calibri"/>
                <w:b/>
                <w:color w:val="FFFFFF"/>
                <w:sz w:val="20"/>
              </w:rPr>
              <w:t>Action</w:t>
            </w:r>
          </w:p>
        </w:tc>
        <w:tc>
          <w:tcPr>
            <w:tcW w:type="dxa" w:w="1984"/>
            <w:vAlign w:val="center"/>
            <w:shd w:val="clear" w:color="auto" w:fill="1F497D"/>
          </w:tcPr>
          <w:p>
            <w:pPr>
              <w:spacing w:before="60" w:after="60"/>
              <w:jc w:val="left"/>
            </w:pPr>
            <w:r>
              <w:rPr>
                <w:rFonts w:ascii="Calibri" w:hAnsi="Calibri"/>
                <w:b/>
                <w:color w:val="FFFFFF"/>
                <w:sz w:val="20"/>
              </w:rPr>
              <w:t>Owner</w:t>
            </w:r>
          </w:p>
        </w:tc>
        <w:tc>
          <w:tcPr>
            <w:tcW w:type="dxa" w:w="1417"/>
            <w:vAlign w:val="center"/>
            <w:shd w:val="clear" w:color="auto" w:fill="1F497D"/>
          </w:tcPr>
          <w:p>
            <w:pPr>
              <w:spacing w:before="60" w:after="60"/>
              <w:jc w:val="left"/>
            </w:pPr>
            <w:r>
              <w:rPr>
                <w:rFonts w:ascii="Calibri" w:hAnsi="Calibri"/>
                <w:b/>
                <w:color w:val="FFFFFF"/>
                <w:sz w:val="20"/>
              </w:rPr>
              <w:t>Due Date</w:t>
            </w:r>
          </w:p>
        </w:tc>
        <w:tc>
          <w:tcPr>
            <w:tcW w:type="dxa" w:w="850"/>
            <w:vAlign w:val="center"/>
            <w:shd w:val="clear" w:color="auto" w:fill="1F497D"/>
          </w:tcPr>
          <w:p>
            <w:pPr>
              <w:spacing w:before="60" w:after="60"/>
              <w:jc w:val="left"/>
            </w:pPr>
            <w:r>
              <w:rPr>
                <w:rFonts w:ascii="Calibri" w:hAnsi="Calibri"/>
                <w:b/>
                <w:color w:val="FFFFFF"/>
                <w:sz w:val="20"/>
              </w:rPr>
              <w:t>Status</w:t>
            </w:r>
          </w:p>
        </w:tc>
      </w:tr>
      <w:tr>
        <w:tc>
          <w:tcPr>
            <w:tcW w:type="dxa" w:w="680"/>
            <w:vAlign w:val="center"/>
            <w:shd w:val="clear" w:color="auto" w:fill="F5F5F5"/>
          </w:tcPr>
          <w:p>
            <w:pPr>
              <w:spacing w:before="60" w:after="60"/>
            </w:pPr>
            <w:r>
              <w:rPr>
                <w:rFonts w:ascii="Calibri" w:hAnsi="Calibri"/>
                <w:b w:val="0"/>
                <w:i w:val="0"/>
                <w:color w:val="1A1A1A"/>
                <w:sz w:val="20"/>
              </w:rPr>
              <w:t>1</w:t>
            </w:r>
          </w:p>
        </w:tc>
        <w:tc>
          <w:tcPr>
            <w:tcW w:type="dxa" w:w="4819"/>
            <w:vAlign w:val="center"/>
            <w:shd w:val="clear" w:color="auto" w:fill="F5F5F5"/>
          </w:tcPr>
          <w:p>
            <w:pPr>
              <w:spacing w:before="60" w:after="60"/>
            </w:pPr>
            <w:r>
              <w:rPr>
                <w:rFonts w:ascii="Calibri" w:hAnsi="Calibri"/>
                <w:b w:val="0"/>
                <w:i w:val="0"/>
                <w:color w:val="1A1A1A"/>
                <w:sz w:val="20"/>
              </w:rPr>
              <w:t>Discuss $500 AI assessment with Finance to decide on proceeding.</w:t>
            </w:r>
          </w:p>
        </w:tc>
        <w:tc>
          <w:tcPr>
            <w:tcW w:type="dxa" w:w="1984"/>
            <w:vAlign w:val="center"/>
            <w:shd w:val="clear" w:color="auto" w:fill="F5F5F5"/>
          </w:tcPr>
          <w:p>
            <w:pPr>
              <w:spacing w:before="60" w:after="60"/>
            </w:pPr>
            <w:r>
              <w:rPr>
                <w:rFonts w:ascii="Calibri" w:hAnsi="Calibri"/>
                <w:b w:val="0"/>
                <w:i w:val="0"/>
                <w:color w:val="1A1A1A"/>
                <w:sz w:val="20"/>
              </w:rPr>
              <w:t>Kwaedza Moyo</w:t>
            </w:r>
          </w:p>
        </w:tc>
        <w:tc>
          <w:tcPr>
            <w:tcW w:type="dxa" w:w="1417"/>
            <w:vAlign w:val="center"/>
            <w:shd w:val="clear" w:color="auto" w:fill="F5F5F5"/>
          </w:tcPr>
          <w:p>
            <w:pPr>
              <w:spacing w:before="60" w:after="60"/>
            </w:pPr>
            <w:r>
              <w:rPr>
                <w:rFonts w:ascii="Calibri" w:hAnsi="Calibri"/>
                <w:b w:val="0"/>
                <w:i w:val="0"/>
                <w:color w:val="1A1A1A"/>
                <w:sz w:val="20"/>
              </w:rPr>
              <w:t>Needs confirmation</w:t>
            </w:r>
          </w:p>
        </w:tc>
        <w:tc>
          <w:tcPr>
            <w:tcW w:type="dxa" w:w="850"/>
            <w:vAlign w:val="center"/>
            <w:shd w:val="clear" w:color="auto" w:fill="F5F5F5"/>
          </w:tcPr>
          <w:p>
            <w:pPr>
              <w:spacing w:before="60" w:after="60"/>
            </w:pPr>
            <w:r>
              <w:rPr>
                <w:rFonts w:ascii="Calibri" w:hAnsi="Calibri"/>
                <w:b w:val="0"/>
                <w:i w:val="0"/>
                <w:color w:val="1A1A1A"/>
                <w:sz w:val="20"/>
              </w:rPr>
              <w:t>Open</w:t>
            </w:r>
          </w:p>
        </w:tc>
      </w:tr>
      <w:tr>
        <w:tc>
          <w:tcPr>
            <w:tcW w:type="dxa" w:w="680"/>
            <w:vAlign w:val="center"/>
            <w:shd w:val="clear" w:color="auto" w:fill="FFFFFF"/>
          </w:tcPr>
          <w:p>
            <w:pPr>
              <w:spacing w:before="60" w:after="60"/>
            </w:pPr>
            <w:r>
              <w:rPr>
                <w:rFonts w:ascii="Calibri" w:hAnsi="Calibri"/>
                <w:b w:val="0"/>
                <w:i w:val="0"/>
                <w:color w:val="1A1A1A"/>
                <w:sz w:val="20"/>
              </w:rPr>
              <w:t>2</w:t>
            </w:r>
          </w:p>
        </w:tc>
        <w:tc>
          <w:tcPr>
            <w:tcW w:type="dxa" w:w="4819"/>
            <w:vAlign w:val="center"/>
            <w:shd w:val="clear" w:color="auto" w:fill="FFFFFF"/>
          </w:tcPr>
          <w:p>
            <w:pPr>
              <w:spacing w:before="60" w:after="60"/>
            </w:pPr>
            <w:r>
              <w:rPr>
                <w:rFonts w:ascii="Calibri" w:hAnsi="Calibri"/>
                <w:b w:val="0"/>
                <w:i w:val="0"/>
                <w:color w:val="1A1A1A"/>
                <w:sz w:val="20"/>
              </w:rPr>
              <w:t>Update John on go/no-go decision based on Finance feedback.</w:t>
            </w:r>
          </w:p>
        </w:tc>
        <w:tc>
          <w:tcPr>
            <w:tcW w:type="dxa" w:w="1984"/>
            <w:vAlign w:val="center"/>
            <w:shd w:val="clear" w:color="auto" w:fill="FFFFFF"/>
          </w:tcPr>
          <w:p>
            <w:pPr>
              <w:spacing w:before="60" w:after="60"/>
            </w:pPr>
            <w:r>
              <w:rPr>
                <w:rFonts w:ascii="Calibri" w:hAnsi="Calibri"/>
                <w:b w:val="0"/>
                <w:i w:val="0"/>
                <w:color w:val="1A1A1A"/>
                <w:sz w:val="20"/>
              </w:rPr>
              <w:t>Kwaedza Moyo</w:t>
            </w:r>
          </w:p>
        </w:tc>
        <w:tc>
          <w:tcPr>
            <w:tcW w:type="dxa" w:w="1417"/>
            <w:vAlign w:val="center"/>
            <w:shd w:val="clear" w:color="auto" w:fill="FFFFFF"/>
          </w:tcPr>
          <w:p>
            <w:pPr>
              <w:spacing w:before="60" w:after="60"/>
            </w:pPr>
            <w:r>
              <w:rPr>
                <w:rFonts w:ascii="Calibri" w:hAnsi="Calibri"/>
                <w:b w:val="0"/>
                <w:i w:val="0"/>
                <w:color w:val="1A1A1A"/>
                <w:sz w:val="20"/>
              </w:rPr>
              <w:t>Needs confirmation</w:t>
            </w:r>
          </w:p>
        </w:tc>
        <w:tc>
          <w:tcPr>
            <w:tcW w:type="dxa" w:w="850"/>
            <w:vAlign w:val="center"/>
            <w:shd w:val="clear" w:color="auto" w:fill="FFFFFF"/>
          </w:tcPr>
          <w:p>
            <w:pPr>
              <w:spacing w:before="60" w:after="60"/>
            </w:pPr>
            <w:r>
              <w:rPr>
                <w:rFonts w:ascii="Calibri" w:hAnsi="Calibri"/>
                <w:b w:val="0"/>
                <w:i w:val="0"/>
                <w:color w:val="1A1A1A"/>
                <w:sz w:val="20"/>
              </w:rPr>
              <w:t>Open</w:t>
            </w:r>
          </w:p>
        </w:tc>
      </w:tr>
      <w:tr>
        <w:tc>
          <w:tcPr>
            <w:tcW w:type="dxa" w:w="680"/>
            <w:vAlign w:val="center"/>
            <w:shd w:val="clear" w:color="auto" w:fill="F5F5F5"/>
          </w:tcPr>
          <w:p>
            <w:pPr>
              <w:spacing w:before="60" w:after="60"/>
            </w:pPr>
            <w:r>
              <w:rPr>
                <w:rFonts w:ascii="Calibri" w:hAnsi="Calibri"/>
                <w:b w:val="0"/>
                <w:i w:val="0"/>
                <w:color w:val="1A1A1A"/>
                <w:sz w:val="20"/>
              </w:rPr>
              <w:t>3</w:t>
            </w:r>
          </w:p>
        </w:tc>
        <w:tc>
          <w:tcPr>
            <w:tcW w:type="dxa" w:w="4819"/>
            <w:vAlign w:val="center"/>
            <w:shd w:val="clear" w:color="auto" w:fill="F5F5F5"/>
          </w:tcPr>
          <w:p>
            <w:pPr>
              <w:spacing w:before="60" w:after="60"/>
            </w:pPr>
            <w:r>
              <w:rPr>
                <w:rFonts w:ascii="Calibri" w:hAnsi="Calibri"/>
                <w:b w:val="0"/>
                <w:i w:val="0"/>
                <w:color w:val="1A1A1A"/>
                <w:sz w:val="20"/>
              </w:rPr>
              <w:t>Email client references for Integra to Kwaedza for further consideration.</w:t>
            </w:r>
          </w:p>
        </w:tc>
        <w:tc>
          <w:tcPr>
            <w:tcW w:type="dxa" w:w="1984"/>
            <w:vAlign w:val="center"/>
            <w:shd w:val="clear" w:color="auto" w:fill="F5F5F5"/>
          </w:tcPr>
          <w:p>
            <w:pPr>
              <w:spacing w:before="60" w:after="60"/>
            </w:pPr>
            <w:r>
              <w:rPr>
                <w:rFonts w:ascii="Calibri" w:hAnsi="Calibri"/>
                <w:b w:val="0"/>
                <w:i w:val="0"/>
                <w:color w:val="1A1A1A"/>
                <w:sz w:val="20"/>
              </w:rPr>
              <w:t>John</w:t>
            </w:r>
          </w:p>
        </w:tc>
        <w:tc>
          <w:tcPr>
            <w:tcW w:type="dxa" w:w="1417"/>
            <w:vAlign w:val="center"/>
            <w:shd w:val="clear" w:color="auto" w:fill="F5F5F5"/>
          </w:tcPr>
          <w:p>
            <w:pPr>
              <w:spacing w:before="60" w:after="60"/>
            </w:pPr>
            <w:r>
              <w:rPr>
                <w:rFonts w:ascii="Calibri" w:hAnsi="Calibri"/>
                <w:b w:val="0"/>
                <w:i w:val="0"/>
                <w:color w:val="1A1A1A"/>
                <w:sz w:val="20"/>
              </w:rPr>
              <w:t>Needs confirmation</w:t>
            </w:r>
          </w:p>
        </w:tc>
        <w:tc>
          <w:tcPr>
            <w:tcW w:type="dxa" w:w="850"/>
            <w:vAlign w:val="center"/>
            <w:shd w:val="clear" w:color="auto" w:fill="F5F5F5"/>
          </w:tcPr>
          <w:p>
            <w:pPr>
              <w:spacing w:before="60" w:after="60"/>
            </w:pPr>
            <w:r>
              <w:rPr>
                <w:rFonts w:ascii="Calibri" w:hAnsi="Calibri"/>
                <w:b w:val="0"/>
                <w:i w:val="0"/>
                <w:color w:val="1A1A1A"/>
                <w:sz w:val="20"/>
              </w:rPr>
              <w:t>Open</w:t>
            </w:r>
          </w:p>
        </w:tc>
      </w:tr>
    </w:tbl>
    <w:p>
      <w:pPr>
        <w:spacing w:after="40"/>
      </w:pP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A1A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