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00"/>
      </w:pPr>
      <w:r>
        <w:rPr>
          <w:rFonts w:ascii="Calibri" w:hAnsi="Calibri"/>
          <w:b w:val="0"/>
          <w:i w:val="0"/>
          <w:color w:val="1A1A1A"/>
          <w:sz w:val="21"/>
        </w:rPr>
        <w:t>Motaj Mews</w:t>
      </w:r>
    </w:p>
    <w:p>
      <w:pPr>
        <w:spacing w:before="0" w:after="100"/>
      </w:pPr>
      <w:r>
        <w:rPr>
          <w:rFonts w:ascii="Calibri" w:hAnsi="Calibri"/>
          <w:b w:val="0"/>
          <w:i w:val="0"/>
          <w:color w:val="1A1A1A"/>
          <w:sz w:val="21"/>
        </w:rPr>
        <w:t>Monday, 03 August 2026</w:t>
      </w:r>
    </w:p>
    <w:p>
      <w:pPr>
        <w:spacing w:before="80" w:after="80"/>
        <w:pBdr>
          <w:bottom w:val="single" w:sz="6" w:space="1" w:color="1F497D"/>
        </w:pBdr>
      </w:pPr>
    </w:p>
    <w:p>
      <w:pPr>
        <w:spacing w:before="0" w:after="100"/>
      </w:pPr>
      <w:r>
        <w:rPr>
          <w:rFonts w:ascii="Calibri" w:hAnsi="Calibri"/>
          <w:b w:val="0"/>
          <w:i w:val="0"/>
          <w:color w:val="1A1A1A"/>
          <w:sz w:val="21"/>
        </w:rPr>
        <w:t>PRESENT</w:t>
      </w:r>
    </w:p>
    <w:p>
      <w:pPr>
        <w:pStyle w:val="ListBullet"/>
        <w:spacing w:before="40" w:after="40"/>
      </w:pPr>
      <w:r>
        <w:rPr>
          <w:rFonts w:ascii="Calibri" w:hAnsi="Calibri"/>
          <w:color w:val="1A1A1A"/>
          <w:sz w:val="21"/>
        </w:rPr>
        <w:t>John Buys</w:t>
      </w:r>
    </w:p>
    <w:p>
      <w:pPr>
        <w:pStyle w:val="ListBullet"/>
        <w:spacing w:before="40" w:after="40"/>
      </w:pPr>
      <w:r>
        <w:rPr>
          <w:rFonts w:ascii="Calibri" w:hAnsi="Calibri"/>
          <w:color w:val="1A1A1A"/>
          <w:sz w:val="21"/>
        </w:rPr>
        <w:t>Kwaedza Moyo</w:t>
      </w:r>
    </w:p>
    <w:p>
      <w:pPr>
        <w:spacing w:before="80" w:after="80"/>
        <w:pBdr>
          <w:bottom w:val="single" w:sz="6" w:space="1" w:color="1F497D"/>
        </w:pBdr>
      </w:pPr>
    </w:p>
    <w:p>
      <w:pPr>
        <w:spacing w:before="280" w:after="80"/>
      </w:pPr>
      <w:r>
        <w:rPr>
          <w:rFonts w:ascii="Calibri" w:hAnsi="Calibri"/>
          <w:b/>
          <w:color w:val="1F497D"/>
          <w:sz w:val="26"/>
        </w:rPr>
        <w:t>SUMMARY</w:t>
      </w:r>
    </w:p>
    <w:p>
      <w:pPr>
        <w:spacing w:before="0" w:after="100"/>
      </w:pPr>
      <w:r>
        <w:rPr>
          <w:rFonts w:ascii="Calibri" w:hAnsi="Calibri"/>
          <w:b w:val="0"/>
          <w:i w:val="0"/>
          <w:color w:val="1A1A1A"/>
          <w:sz w:val="21"/>
        </w:rPr>
        <w:t>John Buys met with Kwaedza Moyo to discuss operational pain points faced by Homelux, ranging from manual tracking of meeting minutes to lack of granular financial management systems. John committed to building a solution to automate meeting minutes tracking and agreed to meet with the CFO to address financial systems challenges.</w:t>
      </w:r>
    </w:p>
    <w:p>
      <w:pPr>
        <w:spacing w:before="280" w:after="80"/>
      </w:pPr>
      <w:r>
        <w:rPr>
          <w:rFonts w:ascii="Calibri" w:hAnsi="Calibri"/>
          <w:b/>
          <w:color w:val="1F497D"/>
          <w:sz w:val="26"/>
        </w:rPr>
        <w:t>DECISIONS</w:t>
      </w:r>
    </w:p>
    <w:p>
      <w:pPr>
        <w:pStyle w:val="ListBullet"/>
        <w:spacing w:before="40" w:after="40"/>
      </w:pPr>
      <w:r>
        <w:rPr>
          <w:rFonts w:ascii="Calibri" w:hAnsi="Calibri"/>
          <w:color w:val="1A1A1A"/>
          <w:sz w:val="21"/>
        </w:rPr>
        <w:t>John will develop a meeting-minutes/action-item tracker for free to demonstrate AI value.</w:t>
      </w:r>
    </w:p>
    <w:p>
      <w:pPr>
        <w:pStyle w:val="ListBullet"/>
        <w:spacing w:before="40" w:after="40"/>
      </w:pPr>
      <w:r>
        <w:rPr>
          <w:rFonts w:ascii="Calibri" w:hAnsi="Calibri"/>
          <w:color w:val="1A1A1A"/>
          <w:sz w:val="21"/>
        </w:rPr>
        <w:t>Kwaedza will arrange a meeting between John and the CFO to discuss granular expense management solutions.</w:t>
      </w:r>
    </w:p>
    <w:p>
      <w:pPr>
        <w:spacing w:before="80" w:after="80"/>
        <w:pBdr>
          <w:bottom w:val="single" w:sz="6" w:space="1" w:color="1F497D"/>
        </w:pBdr>
      </w:pPr>
    </w:p>
    <w:p>
      <w:pPr>
        <w:spacing w:before="280" w:after="80"/>
      </w:pPr>
      <w:r>
        <w:rPr>
          <w:rFonts w:ascii="Calibri" w:hAnsi="Calibri"/>
          <w:b/>
          <w:color w:val="1F497D"/>
          <w:sz w:val="26"/>
        </w:rPr>
        <w:t>ACTION LOG</w:t>
      </w:r>
    </w:p>
    <w:tbl>
      <w:tblPr>
        <w:tblStyle w:val="TableGrid"/>
        <w:tblW w:type="auto" w:w="0"/>
        <w:jc w:val="left"/>
        <w:tblLook w:firstColumn="1" w:firstRow="1" w:lastColumn="0" w:lastRow="0" w:noHBand="0" w:noVBand="1" w:val="04A0"/>
      </w:tblPr>
      <w:tblGrid>
        <w:gridCol w:w="1881"/>
        <w:gridCol w:w="1881"/>
        <w:gridCol w:w="1881"/>
        <w:gridCol w:w="1881"/>
        <w:gridCol w:w="1881"/>
      </w:tblGrid>
      <w:tr>
        <w:tc>
          <w:tcPr>
            <w:tcW w:type="dxa" w:w="680"/>
            <w:vAlign w:val="center"/>
            <w:shd w:val="clear" w:color="auto" w:fill="1F497D"/>
          </w:tcPr>
          <w:p>
            <w:pPr>
              <w:spacing w:before="60" w:after="60"/>
              <w:jc w:val="left"/>
            </w:pPr>
            <w:r>
              <w:rPr>
                <w:rFonts w:ascii="Calibri" w:hAnsi="Calibri"/>
                <w:b/>
                <w:color w:val="FFFFFF"/>
                <w:sz w:val="20"/>
              </w:rPr>
              <w:t>Ref</w:t>
            </w:r>
          </w:p>
        </w:tc>
        <w:tc>
          <w:tcPr>
            <w:tcW w:type="dxa" w:w="4819"/>
            <w:vAlign w:val="center"/>
            <w:shd w:val="clear" w:color="auto" w:fill="1F497D"/>
          </w:tcPr>
          <w:p>
            <w:pPr>
              <w:spacing w:before="60" w:after="60"/>
              <w:jc w:val="left"/>
            </w:pPr>
            <w:r>
              <w:rPr>
                <w:rFonts w:ascii="Calibri" w:hAnsi="Calibri"/>
                <w:b/>
                <w:color w:val="FFFFFF"/>
                <w:sz w:val="20"/>
              </w:rPr>
              <w:t>Action</w:t>
            </w:r>
          </w:p>
        </w:tc>
        <w:tc>
          <w:tcPr>
            <w:tcW w:type="dxa" w:w="1984"/>
            <w:vAlign w:val="center"/>
            <w:shd w:val="clear" w:color="auto" w:fill="1F497D"/>
          </w:tcPr>
          <w:p>
            <w:pPr>
              <w:spacing w:before="60" w:after="60"/>
              <w:jc w:val="left"/>
            </w:pPr>
            <w:r>
              <w:rPr>
                <w:rFonts w:ascii="Calibri" w:hAnsi="Calibri"/>
                <w:b/>
                <w:color w:val="FFFFFF"/>
                <w:sz w:val="20"/>
              </w:rPr>
              <w:t>Owner</w:t>
            </w:r>
          </w:p>
        </w:tc>
        <w:tc>
          <w:tcPr>
            <w:tcW w:type="dxa" w:w="1417"/>
            <w:vAlign w:val="center"/>
            <w:shd w:val="clear" w:color="auto" w:fill="1F497D"/>
          </w:tcPr>
          <w:p>
            <w:pPr>
              <w:spacing w:before="60" w:after="60"/>
              <w:jc w:val="left"/>
            </w:pPr>
            <w:r>
              <w:rPr>
                <w:rFonts w:ascii="Calibri" w:hAnsi="Calibri"/>
                <w:b/>
                <w:color w:val="FFFFFF"/>
                <w:sz w:val="20"/>
              </w:rPr>
              <w:t>Due Date</w:t>
            </w:r>
          </w:p>
        </w:tc>
        <w:tc>
          <w:tcPr>
            <w:tcW w:type="dxa" w:w="850"/>
            <w:vAlign w:val="center"/>
            <w:shd w:val="clear" w:color="auto" w:fill="1F497D"/>
          </w:tcPr>
          <w:p>
            <w:pPr>
              <w:spacing w:before="60" w:after="60"/>
              <w:jc w:val="left"/>
            </w:pPr>
            <w:r>
              <w:rPr>
                <w:rFonts w:ascii="Calibri" w:hAnsi="Calibri"/>
                <w:b/>
                <w:color w:val="FFFFFF"/>
                <w:sz w:val="20"/>
              </w:rPr>
              <w:t>Status</w:t>
            </w:r>
          </w:p>
        </w:tc>
      </w:tr>
      <w:tr>
        <w:tc>
          <w:tcPr>
            <w:tcW w:type="dxa" w:w="680"/>
            <w:vAlign w:val="center"/>
            <w:shd w:val="clear" w:color="auto" w:fill="F5F5F5"/>
          </w:tcPr>
          <w:p>
            <w:pPr>
              <w:spacing w:before="60" w:after="60"/>
            </w:pPr>
            <w:r>
              <w:rPr>
                <w:rFonts w:ascii="Calibri" w:hAnsi="Calibri"/>
                <w:b w:val="0"/>
                <w:i w:val="0"/>
                <w:color w:val="1A1A1A"/>
                <w:sz w:val="20"/>
              </w:rPr>
              <w:t>1</w:t>
            </w:r>
          </w:p>
        </w:tc>
        <w:tc>
          <w:tcPr>
            <w:tcW w:type="dxa" w:w="4819"/>
            <w:vAlign w:val="center"/>
            <w:shd w:val="clear" w:color="auto" w:fill="F5F5F5"/>
          </w:tcPr>
          <w:p>
            <w:pPr>
              <w:spacing w:before="60" w:after="60"/>
            </w:pPr>
            <w:r>
              <w:rPr>
                <w:rFonts w:ascii="Calibri" w:hAnsi="Calibri"/>
                <w:b w:val="0"/>
                <w:i w:val="0"/>
                <w:color w:val="1A1A1A"/>
                <w:sz w:val="20"/>
              </w:rPr>
              <w:t>Coordinate and meet with the Homelux CFO on granular project expense management.</w:t>
            </w:r>
          </w:p>
        </w:tc>
        <w:tc>
          <w:tcPr>
            <w:tcW w:type="dxa" w:w="1984"/>
            <w:vAlign w:val="center"/>
            <w:shd w:val="clear" w:color="auto" w:fill="F5F5F5"/>
          </w:tcPr>
          <w:p>
            <w:pPr>
              <w:spacing w:before="60" w:after="60"/>
            </w:pPr>
            <w:r>
              <w:rPr>
                <w:rFonts w:ascii="Calibri" w:hAnsi="Calibri"/>
                <w:b w:val="0"/>
                <w:i w:val="0"/>
                <w:color w:val="1A1A1A"/>
                <w:sz w:val="20"/>
              </w:rPr>
              <w:t>John</w:t>
            </w:r>
          </w:p>
        </w:tc>
        <w:tc>
          <w:tcPr>
            <w:tcW w:type="dxa" w:w="1417"/>
            <w:vAlign w:val="center"/>
            <w:shd w:val="clear" w:color="auto" w:fill="F5F5F5"/>
          </w:tcPr>
          <w:p>
            <w:pPr>
              <w:spacing w:before="60" w:after="60"/>
            </w:pPr>
            <w:r>
              <w:rPr>
                <w:rFonts w:ascii="Calibri" w:hAnsi="Calibri"/>
                <w:b w:val="0"/>
                <w:i w:val="0"/>
                <w:color w:val="1A1A1A"/>
                <w:sz w:val="20"/>
              </w:rPr>
              <w:t>2026-08-07</w:t>
            </w:r>
          </w:p>
        </w:tc>
        <w:tc>
          <w:tcPr>
            <w:tcW w:type="dxa" w:w="850"/>
            <w:vAlign w:val="center"/>
            <w:shd w:val="clear" w:color="auto" w:fill="F5F5F5"/>
          </w:tcPr>
          <w:p>
            <w:pPr>
              <w:spacing w:before="60" w:after="60"/>
            </w:pPr>
            <w:r>
              <w:rPr>
                <w:rFonts w:ascii="Calibri" w:hAnsi="Calibri"/>
                <w:b w:val="0"/>
                <w:i w:val="0"/>
                <w:color w:val="1A1A1A"/>
                <w:sz w:val="20"/>
              </w:rPr>
              <w:t>Open</w:t>
            </w:r>
          </w:p>
        </w:tc>
      </w:tr>
      <w:tr>
        <w:tc>
          <w:tcPr>
            <w:tcW w:type="dxa" w:w="680"/>
            <w:vAlign w:val="center"/>
            <w:shd w:val="clear" w:color="auto" w:fill="FFFFFF"/>
          </w:tcPr>
          <w:p>
            <w:pPr>
              <w:spacing w:before="60" w:after="60"/>
            </w:pPr>
            <w:r>
              <w:rPr>
                <w:rFonts w:ascii="Calibri" w:hAnsi="Calibri"/>
                <w:b w:val="0"/>
                <w:i w:val="0"/>
                <w:color w:val="1A1A1A"/>
                <w:sz w:val="20"/>
              </w:rPr>
              <w:t>2</w:t>
            </w:r>
          </w:p>
        </w:tc>
        <w:tc>
          <w:tcPr>
            <w:tcW w:type="dxa" w:w="4819"/>
            <w:vAlign w:val="center"/>
            <w:shd w:val="clear" w:color="auto" w:fill="FFFFFF"/>
          </w:tcPr>
          <w:p>
            <w:pPr>
              <w:spacing w:before="60" w:after="60"/>
            </w:pPr>
            <w:r>
              <w:rPr>
                <w:rFonts w:ascii="Calibri" w:hAnsi="Calibri"/>
                <w:b w:val="0"/>
                <w:i w:val="0"/>
                <w:color w:val="1A1A1A"/>
                <w:sz w:val="20"/>
              </w:rPr>
              <w:t>Develop the meeting transcript/minutes generator with task-action follow-ups, at no cost for Kwaedza.</w:t>
            </w:r>
          </w:p>
        </w:tc>
        <w:tc>
          <w:tcPr>
            <w:tcW w:type="dxa" w:w="1984"/>
            <w:vAlign w:val="center"/>
            <w:shd w:val="clear" w:color="auto" w:fill="FFFFFF"/>
          </w:tcPr>
          <w:p>
            <w:pPr>
              <w:spacing w:before="60" w:after="60"/>
            </w:pPr>
            <w:r>
              <w:rPr>
                <w:rFonts w:ascii="Calibri" w:hAnsi="Calibri"/>
                <w:b w:val="0"/>
                <w:i w:val="0"/>
                <w:color w:val="1A1A1A"/>
                <w:sz w:val="20"/>
              </w:rPr>
              <w:t>John</w:t>
            </w:r>
          </w:p>
        </w:tc>
        <w:tc>
          <w:tcPr>
            <w:tcW w:type="dxa" w:w="1417"/>
            <w:vAlign w:val="center"/>
            <w:shd w:val="clear" w:color="auto" w:fill="FFFFFF"/>
          </w:tcPr>
          <w:p>
            <w:pPr>
              <w:spacing w:before="60" w:after="60"/>
            </w:pPr>
            <w:r>
              <w:rPr>
                <w:rFonts w:ascii="Calibri" w:hAnsi="Calibri"/>
                <w:b w:val="0"/>
                <w:i w:val="0"/>
                <w:color w:val="1A1A1A"/>
                <w:sz w:val="20"/>
              </w:rPr>
              <w:t>Needs confirmation</w:t>
            </w:r>
          </w:p>
        </w:tc>
        <w:tc>
          <w:tcPr>
            <w:tcW w:type="dxa" w:w="850"/>
            <w:vAlign w:val="center"/>
            <w:shd w:val="clear" w:color="auto" w:fill="FFFFFF"/>
          </w:tcPr>
          <w:p>
            <w:pPr>
              <w:spacing w:before="60" w:after="60"/>
            </w:pPr>
            <w:r>
              <w:rPr>
                <w:rFonts w:ascii="Calibri" w:hAnsi="Calibri"/>
                <w:b w:val="0"/>
                <w:i w:val="0"/>
                <w:color w:val="1A1A1A"/>
                <w:sz w:val="20"/>
              </w:rPr>
              <w:t>Open</w:t>
            </w:r>
          </w:p>
        </w:tc>
      </w:tr>
    </w:tbl>
    <w:p>
      <w:pPr>
        <w:spacing w:after="40"/>
      </w:pP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