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00"/>
      </w:pPr>
      <w:r>
        <w:rPr>
          <w:rFonts w:ascii="Calibri" w:hAnsi="Calibri"/>
          <w:b w:val="0"/>
          <w:i w:val="0"/>
          <w:color w:val="1A1A1A"/>
          <w:sz w:val="21"/>
        </w:rPr>
        <w:t>Motaj Mews</w:t>
      </w:r>
    </w:p>
    <w:p>
      <w:pPr>
        <w:spacing w:before="0" w:after="100"/>
      </w:pPr>
      <w:r>
        <w:rPr>
          <w:rFonts w:ascii="Calibri" w:hAnsi="Calibri"/>
          <w:b w:val="0"/>
          <w:i w:val="0"/>
          <w:color w:val="1A1A1A"/>
          <w:sz w:val="21"/>
        </w:rPr>
        <w:t>Thursday, 09 July 2026</w:t>
      </w:r>
    </w:p>
    <w:p>
      <w:pPr>
        <w:spacing w:before="80" w:after="80"/>
        <w:pBdr>
          <w:bottom w:val="single" w:sz="6" w:space="1" w:color="1F497D"/>
        </w:pBdr>
      </w:pPr>
    </w:p>
    <w:p>
      <w:pPr>
        <w:spacing w:before="0" w:after="100"/>
      </w:pPr>
      <w:r>
        <w:rPr>
          <w:rFonts w:ascii="Calibri" w:hAnsi="Calibri"/>
          <w:b w:val="0"/>
          <w:i w:val="0"/>
          <w:color w:val="1A1A1A"/>
          <w:sz w:val="21"/>
        </w:rPr>
        <w:t>PRESENT</w:t>
      </w:r>
    </w:p>
    <w:p>
      <w:pPr>
        <w:pStyle w:val="ListBullet"/>
        <w:spacing w:before="40" w:after="40"/>
      </w:pPr>
      <w:r>
        <w:rPr>
          <w:rFonts w:ascii="Calibri" w:hAnsi="Calibri"/>
          <w:color w:val="1A1A1A"/>
          <w:sz w:val="21"/>
        </w:rPr>
        <w:t>John Buys</w:t>
      </w:r>
    </w:p>
    <w:p>
      <w:pPr>
        <w:pStyle w:val="ListBullet"/>
        <w:spacing w:before="40" w:after="40"/>
      </w:pPr>
      <w:r>
        <w:rPr>
          <w:rFonts w:ascii="Calibri" w:hAnsi="Calibri"/>
          <w:color w:val="1A1A1A"/>
          <w:sz w:val="21"/>
        </w:rPr>
        <w:t>Kwaedza Moyo</w:t>
      </w:r>
    </w:p>
    <w:p>
      <w:pPr>
        <w:spacing w:before="80" w:after="80"/>
        <w:pBdr>
          <w:bottom w:val="single" w:sz="6" w:space="1" w:color="1F497D"/>
        </w:pBdr>
      </w:pPr>
    </w:p>
    <w:p>
      <w:pPr>
        <w:spacing w:before="280" w:after="80"/>
      </w:pPr>
      <w:r>
        <w:rPr>
          <w:rFonts w:ascii="Calibri" w:hAnsi="Calibri"/>
          <w:b/>
          <w:color w:val="1F497D"/>
          <w:sz w:val="26"/>
        </w:rPr>
        <w:t>SUMMARY</w:t>
      </w:r>
    </w:p>
    <w:p>
      <w:pPr>
        <w:spacing w:before="0" w:after="100"/>
      </w:pPr>
      <w:r>
        <w:rPr>
          <w:rFonts w:ascii="Calibri" w:hAnsi="Calibri"/>
          <w:b w:val="0"/>
          <w:i w:val="0"/>
          <w:color w:val="1A1A1A"/>
          <w:sz w:val="21"/>
        </w:rPr>
        <w:t>The meeting discussed progress on architectural designs for a building project, including detailed considerations about internal layouts, the integration of kitchenettes and bathrooms, and entrance configurations. The group emphasized ensuring clear specifications for sectional titles and managing entrance layouts to optimize access and usability. Updates on external approvals like EIA certification and electrical utility setup were provided, alongside discussions on the impact of delayed plans on dependencies such as the car sales operations.</w:t>
      </w:r>
    </w:p>
    <w:p>
      <w:pPr>
        <w:spacing w:before="280" w:after="80"/>
      </w:pPr>
      <w:r>
        <w:rPr>
          <w:rFonts w:ascii="Calibri" w:hAnsi="Calibri"/>
          <w:b/>
          <w:color w:val="1F497D"/>
          <w:sz w:val="26"/>
        </w:rPr>
        <w:t>DECISIONS</w:t>
      </w:r>
    </w:p>
    <w:p>
      <w:pPr>
        <w:pStyle w:val="ListBullet"/>
        <w:spacing w:before="40" w:after="40"/>
      </w:pPr>
      <w:r>
        <w:rPr>
          <w:rFonts w:ascii="Calibri" w:hAnsi="Calibri"/>
          <w:color w:val="1A1A1A"/>
          <w:sz w:val="21"/>
        </w:rPr>
        <w:t>Adopted previous meeting minutes.</w:t>
      </w:r>
    </w:p>
    <w:p>
      <w:pPr>
        <w:pStyle w:val="ListBullet"/>
        <w:spacing w:before="40" w:after="40"/>
      </w:pPr>
      <w:r>
        <w:rPr>
          <w:rFonts w:ascii="Calibri" w:hAnsi="Calibri"/>
          <w:color w:val="1A1A1A"/>
          <w:sz w:val="21"/>
        </w:rPr>
        <w:t>Confirmed approach to replicate internal layouts of one block onto another for consistency.</w:t>
      </w:r>
    </w:p>
    <w:p>
      <w:pPr>
        <w:pStyle w:val="ListBullet"/>
        <w:spacing w:before="40" w:after="40"/>
      </w:pPr>
      <w:r>
        <w:rPr>
          <w:rFonts w:ascii="Calibri" w:hAnsi="Calibri"/>
          <w:color w:val="1A1A1A"/>
          <w:sz w:val="21"/>
        </w:rPr>
        <w:t>Retain entrances from car parks to ensure independent access to office spaces.</w:t>
      </w:r>
    </w:p>
    <w:p>
      <w:pPr>
        <w:pStyle w:val="ListBullet"/>
        <w:spacing w:before="40" w:after="40"/>
      </w:pPr>
      <w:r>
        <w:rPr>
          <w:rFonts w:ascii="Calibri" w:hAnsi="Calibri"/>
          <w:color w:val="1A1A1A"/>
          <w:sz w:val="21"/>
        </w:rPr>
        <w:t>Acknowledged impact of construction delays on operational revenues.</w:t>
      </w:r>
    </w:p>
    <w:p>
      <w:pPr>
        <w:spacing w:before="80" w:after="80"/>
        <w:pBdr>
          <w:bottom w:val="single" w:sz="6" w:space="1" w:color="1F497D"/>
        </w:pBdr>
      </w:pPr>
    </w:p>
    <w:p>
      <w:pPr>
        <w:spacing w:before="280" w:after="80"/>
      </w:pPr>
      <w:r>
        <w:rPr>
          <w:rFonts w:ascii="Calibri" w:hAnsi="Calibri"/>
          <w:b/>
          <w:color w:val="1F497D"/>
          <w:sz w:val="26"/>
        </w:rPr>
        <w:t>ACTION LOG</w:t>
      </w:r>
    </w:p>
    <w:tbl>
      <w:tblPr>
        <w:tblStyle w:val="TableGrid"/>
        <w:tblW w:type="auto" w:w="0"/>
        <w:jc w:val="left"/>
        <w:tblLook w:firstColumn="1" w:firstRow="1" w:lastColumn="0" w:lastRow="0" w:noHBand="0" w:noVBand="1" w:val="04A0"/>
      </w:tblPr>
      <w:tblGrid>
        <w:gridCol w:w="1881"/>
        <w:gridCol w:w="1881"/>
        <w:gridCol w:w="1881"/>
        <w:gridCol w:w="1881"/>
        <w:gridCol w:w="1881"/>
      </w:tblGrid>
      <w:tr>
        <w:tc>
          <w:tcPr>
            <w:tcW w:type="dxa" w:w="680"/>
            <w:vAlign w:val="center"/>
            <w:shd w:val="clear" w:color="auto" w:fill="1F497D"/>
          </w:tcPr>
          <w:p>
            <w:pPr>
              <w:spacing w:before="60" w:after="60"/>
              <w:jc w:val="left"/>
            </w:pPr>
            <w:r>
              <w:rPr>
                <w:rFonts w:ascii="Calibri" w:hAnsi="Calibri"/>
                <w:b/>
                <w:color w:val="FFFFFF"/>
                <w:sz w:val="20"/>
              </w:rPr>
              <w:t>Ref</w:t>
            </w:r>
          </w:p>
        </w:tc>
        <w:tc>
          <w:tcPr>
            <w:tcW w:type="dxa" w:w="4819"/>
            <w:vAlign w:val="center"/>
            <w:shd w:val="clear" w:color="auto" w:fill="1F497D"/>
          </w:tcPr>
          <w:p>
            <w:pPr>
              <w:spacing w:before="60" w:after="60"/>
              <w:jc w:val="left"/>
            </w:pPr>
            <w:r>
              <w:rPr>
                <w:rFonts w:ascii="Calibri" w:hAnsi="Calibri"/>
                <w:b/>
                <w:color w:val="FFFFFF"/>
                <w:sz w:val="20"/>
              </w:rPr>
              <w:t>Action</w:t>
            </w:r>
          </w:p>
        </w:tc>
        <w:tc>
          <w:tcPr>
            <w:tcW w:type="dxa" w:w="1984"/>
            <w:vAlign w:val="center"/>
            <w:shd w:val="clear" w:color="auto" w:fill="1F497D"/>
          </w:tcPr>
          <w:p>
            <w:pPr>
              <w:spacing w:before="60" w:after="60"/>
              <w:jc w:val="left"/>
            </w:pPr>
            <w:r>
              <w:rPr>
                <w:rFonts w:ascii="Calibri" w:hAnsi="Calibri"/>
                <w:b/>
                <w:color w:val="FFFFFF"/>
                <w:sz w:val="20"/>
              </w:rPr>
              <w:t>Owner</w:t>
            </w:r>
          </w:p>
        </w:tc>
        <w:tc>
          <w:tcPr>
            <w:tcW w:type="dxa" w:w="1417"/>
            <w:vAlign w:val="center"/>
            <w:shd w:val="clear" w:color="auto" w:fill="1F497D"/>
          </w:tcPr>
          <w:p>
            <w:pPr>
              <w:spacing w:before="60" w:after="60"/>
              <w:jc w:val="left"/>
            </w:pPr>
            <w:r>
              <w:rPr>
                <w:rFonts w:ascii="Calibri" w:hAnsi="Calibri"/>
                <w:b/>
                <w:color w:val="FFFFFF"/>
                <w:sz w:val="20"/>
              </w:rPr>
              <w:t>Due Date</w:t>
            </w:r>
          </w:p>
        </w:tc>
        <w:tc>
          <w:tcPr>
            <w:tcW w:type="dxa" w:w="850"/>
            <w:vAlign w:val="center"/>
            <w:shd w:val="clear" w:color="auto" w:fill="1F497D"/>
          </w:tcPr>
          <w:p>
            <w:pPr>
              <w:spacing w:before="60" w:after="60"/>
              <w:jc w:val="left"/>
            </w:pPr>
            <w:r>
              <w:rPr>
                <w:rFonts w:ascii="Calibri" w:hAnsi="Calibri"/>
                <w:b/>
                <w:color w:val="FFFFFF"/>
                <w:sz w:val="20"/>
              </w:rPr>
              <w:t>Status</w:t>
            </w:r>
          </w:p>
        </w:tc>
      </w:tr>
      <w:tr>
        <w:tc>
          <w:tcPr>
            <w:tcW w:type="dxa" w:w="680"/>
            <w:vAlign w:val="center"/>
            <w:shd w:val="clear" w:color="auto" w:fill="F5F5F5"/>
          </w:tcPr>
          <w:p>
            <w:pPr>
              <w:spacing w:before="60" w:after="60"/>
            </w:pPr>
            <w:r>
              <w:rPr>
                <w:rFonts w:ascii="Calibri" w:hAnsi="Calibri"/>
                <w:b w:val="0"/>
                <w:i w:val="0"/>
                <w:color w:val="1A1A1A"/>
                <w:sz w:val="20"/>
              </w:rPr>
              <w:t>1</w:t>
            </w:r>
          </w:p>
        </w:tc>
        <w:tc>
          <w:tcPr>
            <w:tcW w:type="dxa" w:w="4819"/>
            <w:vAlign w:val="center"/>
            <w:shd w:val="clear" w:color="auto" w:fill="F5F5F5"/>
          </w:tcPr>
          <w:p>
            <w:pPr>
              <w:spacing w:before="60" w:after="60"/>
            </w:pPr>
            <w:r>
              <w:rPr>
                <w:rFonts w:ascii="Calibri" w:hAnsi="Calibri"/>
                <w:b w:val="0"/>
                <w:i w:val="0"/>
                <w:color w:val="1A1A1A"/>
                <w:sz w:val="20"/>
              </w:rPr>
              <w:t>Integrate input regarding internal layouts for the architectural designs with focus on sectional titles and entrances.</w:t>
            </w:r>
          </w:p>
        </w:tc>
        <w:tc>
          <w:tcPr>
            <w:tcW w:type="dxa" w:w="1984"/>
            <w:vAlign w:val="center"/>
            <w:shd w:val="clear" w:color="auto" w:fill="F5F5F5"/>
          </w:tcPr>
          <w:p>
            <w:pPr>
              <w:spacing w:before="60" w:after="60"/>
            </w:pPr>
            <w:r>
              <w:rPr>
                <w:rFonts w:ascii="Calibri" w:hAnsi="Calibri"/>
                <w:b w:val="0"/>
                <w:i w:val="0"/>
                <w:color w:val="1A1A1A"/>
                <w:sz w:val="20"/>
              </w:rPr>
              <w:t>Architects</w:t>
            </w:r>
          </w:p>
        </w:tc>
        <w:tc>
          <w:tcPr>
            <w:tcW w:type="dxa" w:w="1417"/>
            <w:vAlign w:val="center"/>
            <w:shd w:val="clear" w:color="auto" w:fill="F5F5F5"/>
          </w:tcPr>
          <w:p>
            <w:pPr>
              <w:spacing w:before="60" w:after="60"/>
            </w:pPr>
            <w:r>
              <w:rPr>
                <w:rFonts w:ascii="Calibri" w:hAnsi="Calibri"/>
                <w:b w:val="0"/>
                <w:i w:val="0"/>
                <w:color w:val="1A1A1A"/>
                <w:sz w:val="20"/>
              </w:rPr>
              <w:t>Needs confirmation</w:t>
            </w:r>
          </w:p>
        </w:tc>
        <w:tc>
          <w:tcPr>
            <w:tcW w:type="dxa" w:w="850"/>
            <w:vAlign w:val="center"/>
            <w:shd w:val="clear" w:color="auto" w:fill="F5F5F5"/>
          </w:tcPr>
          <w:p>
            <w:pPr>
              <w:spacing w:before="60" w:after="60"/>
            </w:pPr>
            <w:r>
              <w:rPr>
                <w:rFonts w:ascii="Calibri" w:hAnsi="Calibri"/>
                <w:b w:val="0"/>
                <w:i w:val="0"/>
                <w:color w:val="1A1A1A"/>
                <w:sz w:val="20"/>
              </w:rPr>
              <w:t>Open</w:t>
            </w:r>
          </w:p>
        </w:tc>
      </w:tr>
      <w:tr>
        <w:tc>
          <w:tcPr>
            <w:tcW w:type="dxa" w:w="680"/>
            <w:vAlign w:val="center"/>
            <w:shd w:val="clear" w:color="auto" w:fill="FFFFFF"/>
          </w:tcPr>
          <w:p>
            <w:pPr>
              <w:spacing w:before="60" w:after="60"/>
            </w:pPr>
            <w:r>
              <w:rPr>
                <w:rFonts w:ascii="Calibri" w:hAnsi="Calibri"/>
                <w:b w:val="0"/>
                <w:i w:val="0"/>
                <w:color w:val="1A1A1A"/>
                <w:sz w:val="20"/>
              </w:rPr>
              <w:t>2</w:t>
            </w:r>
          </w:p>
        </w:tc>
        <w:tc>
          <w:tcPr>
            <w:tcW w:type="dxa" w:w="4819"/>
            <w:vAlign w:val="center"/>
            <w:shd w:val="clear" w:color="auto" w:fill="FFFFFF"/>
          </w:tcPr>
          <w:p>
            <w:pPr>
              <w:spacing w:before="60" w:after="60"/>
            </w:pPr>
            <w:r>
              <w:rPr>
                <w:rFonts w:ascii="Calibri" w:hAnsi="Calibri"/>
                <w:b w:val="0"/>
                <w:i w:val="0"/>
                <w:color w:val="1A1A1A"/>
                <w:sz w:val="20"/>
              </w:rPr>
              <w:t>Ensure consistent updates and contact with neighborhood security regarding site access.</w:t>
            </w:r>
          </w:p>
        </w:tc>
        <w:tc>
          <w:tcPr>
            <w:tcW w:type="dxa" w:w="1984"/>
            <w:vAlign w:val="center"/>
            <w:shd w:val="clear" w:color="auto" w:fill="FFFFFF"/>
          </w:tcPr>
          <w:p>
            <w:pPr>
              <w:spacing w:before="60" w:after="60"/>
            </w:pPr>
            <w:r>
              <w:rPr>
                <w:rFonts w:ascii="Calibri" w:hAnsi="Calibri"/>
                <w:b w:val="0"/>
                <w:i w:val="0"/>
                <w:color w:val="1A1A1A"/>
                <w:sz w:val="20"/>
              </w:rPr>
              <w:t>Needs confirmation</w:t>
            </w:r>
          </w:p>
        </w:tc>
        <w:tc>
          <w:tcPr>
            <w:tcW w:type="dxa" w:w="1417"/>
            <w:vAlign w:val="center"/>
            <w:shd w:val="clear" w:color="auto" w:fill="FFFFFF"/>
          </w:tcPr>
          <w:p>
            <w:pPr>
              <w:spacing w:before="60" w:after="60"/>
            </w:pPr>
            <w:r>
              <w:rPr>
                <w:rFonts w:ascii="Calibri" w:hAnsi="Calibri"/>
                <w:b w:val="0"/>
                <w:i w:val="0"/>
                <w:color w:val="1A1A1A"/>
                <w:sz w:val="20"/>
              </w:rPr>
              <w:t>Needs confirmation</w:t>
            </w:r>
          </w:p>
        </w:tc>
        <w:tc>
          <w:tcPr>
            <w:tcW w:type="dxa" w:w="850"/>
            <w:vAlign w:val="center"/>
            <w:shd w:val="clear" w:color="auto" w:fill="FFFFFF"/>
          </w:tcPr>
          <w:p>
            <w:pPr>
              <w:spacing w:before="60" w:after="60"/>
            </w:pPr>
            <w:r>
              <w:rPr>
                <w:rFonts w:ascii="Calibri" w:hAnsi="Calibri"/>
                <w:b w:val="0"/>
                <w:i w:val="0"/>
                <w:color w:val="1A1A1A"/>
                <w:sz w:val="20"/>
              </w:rPr>
              <w:t>Open</w:t>
            </w:r>
          </w:p>
        </w:tc>
      </w:tr>
      <w:tr>
        <w:tc>
          <w:tcPr>
            <w:tcW w:type="dxa" w:w="680"/>
            <w:vAlign w:val="center"/>
            <w:shd w:val="clear" w:color="auto" w:fill="F5F5F5"/>
          </w:tcPr>
          <w:p>
            <w:pPr>
              <w:spacing w:before="60" w:after="60"/>
            </w:pPr>
            <w:r>
              <w:rPr>
                <w:rFonts w:ascii="Calibri" w:hAnsi="Calibri"/>
                <w:b w:val="0"/>
                <w:i w:val="0"/>
                <w:color w:val="1A1A1A"/>
                <w:sz w:val="20"/>
              </w:rPr>
              <w:t>3</w:t>
            </w:r>
          </w:p>
        </w:tc>
        <w:tc>
          <w:tcPr>
            <w:tcW w:type="dxa" w:w="4819"/>
            <w:vAlign w:val="center"/>
            <w:shd w:val="clear" w:color="auto" w:fill="F5F5F5"/>
          </w:tcPr>
          <w:p>
            <w:pPr>
              <w:spacing w:before="60" w:after="60"/>
            </w:pPr>
            <w:r>
              <w:rPr>
                <w:rFonts w:ascii="Calibri" w:hAnsi="Calibri"/>
                <w:b w:val="0"/>
                <w:i w:val="0"/>
                <w:color w:val="1A1A1A"/>
                <w:sz w:val="20"/>
              </w:rPr>
              <w:t>Follow up on architectural plan approvals and communicate to relevant stakeholders.</w:t>
            </w:r>
          </w:p>
        </w:tc>
        <w:tc>
          <w:tcPr>
            <w:tcW w:type="dxa" w:w="1984"/>
            <w:vAlign w:val="center"/>
            <w:shd w:val="clear" w:color="auto" w:fill="F5F5F5"/>
          </w:tcPr>
          <w:p>
            <w:pPr>
              <w:spacing w:before="60" w:after="60"/>
            </w:pPr>
            <w:r>
              <w:rPr>
                <w:rFonts w:ascii="Calibri" w:hAnsi="Calibri"/>
                <w:b w:val="0"/>
                <w:i w:val="0"/>
                <w:color w:val="1A1A1A"/>
                <w:sz w:val="20"/>
              </w:rPr>
              <w:t>Project Manager</w:t>
            </w:r>
          </w:p>
        </w:tc>
        <w:tc>
          <w:tcPr>
            <w:tcW w:type="dxa" w:w="1417"/>
            <w:vAlign w:val="center"/>
            <w:shd w:val="clear" w:color="auto" w:fill="F5F5F5"/>
          </w:tcPr>
          <w:p>
            <w:pPr>
              <w:spacing w:before="60" w:after="60"/>
            </w:pPr>
            <w:r>
              <w:rPr>
                <w:rFonts w:ascii="Calibri" w:hAnsi="Calibri"/>
                <w:b w:val="0"/>
                <w:i w:val="0"/>
                <w:color w:val="1A1A1A"/>
                <w:sz w:val="20"/>
              </w:rPr>
              <w:t>2023-08-31</w:t>
            </w:r>
          </w:p>
        </w:tc>
        <w:tc>
          <w:tcPr>
            <w:tcW w:type="dxa" w:w="850"/>
            <w:vAlign w:val="center"/>
            <w:shd w:val="clear" w:color="auto" w:fill="F5F5F5"/>
          </w:tcPr>
          <w:p>
            <w:pPr>
              <w:spacing w:before="60" w:after="60"/>
            </w:pPr>
            <w:r>
              <w:rPr>
                <w:rFonts w:ascii="Calibri" w:hAnsi="Calibri"/>
                <w:b w:val="0"/>
                <w:i w:val="0"/>
                <w:color w:val="1A1A1A"/>
                <w:sz w:val="20"/>
              </w:rPr>
              <w:t>Open</w:t>
            </w:r>
          </w:p>
        </w:tc>
      </w:tr>
    </w:tbl>
    <w:p>
      <w:pPr>
        <w:spacing w:after="40"/>
      </w:pP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A1A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